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9D4" w:rsidRDefault="005F79D4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862A3" w:rsidRPr="008862A3" w:rsidRDefault="008862A3" w:rsidP="005F7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62A3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14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249-па     </w:t>
      </w:r>
    </w:p>
    <w:p w:rsidR="005F79D4" w:rsidRPr="005F79D4" w:rsidRDefault="005F79D4" w:rsidP="005F7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D4" w:rsidRPr="005F79D4" w:rsidRDefault="005F79D4" w:rsidP="005F79D4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5F79D4" w:rsidRPr="005F79D4" w:rsidRDefault="005F79D4" w:rsidP="005F79D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D4" w:rsidRPr="005F79D4" w:rsidRDefault="005F79D4" w:rsidP="005F79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5F79D4" w:rsidRPr="005F79D4" w:rsidRDefault="005F79D4" w:rsidP="005F79D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D4" w:rsidRPr="005F79D4" w:rsidRDefault="005F79D4" w:rsidP="005F7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5F79D4" w:rsidRPr="005F79D4" w:rsidRDefault="005F79D4" w:rsidP="005F79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D4" w:rsidRPr="005F79D4" w:rsidRDefault="005F79D4" w:rsidP="005F79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5F79D4" w:rsidRPr="005F79D4" w:rsidRDefault="005F79D4" w:rsidP="005F79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79D4" w:rsidRPr="005F79D4" w:rsidRDefault="005F79D4" w:rsidP="005F79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</w:t>
      </w:r>
      <w:proofErr w:type="gramStart"/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6" w:tgtFrame="_blank" w:history="1">
        <w:r w:rsidRPr="005F79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5F79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5F79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F79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5F79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5F79D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5F79D4" w:rsidRPr="005F79D4" w:rsidRDefault="005F79D4" w:rsidP="005F79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5F79D4" w:rsidRPr="005F79D4" w:rsidRDefault="005F79D4" w:rsidP="005F7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D4" w:rsidRPr="005F79D4" w:rsidRDefault="005F79D4" w:rsidP="005F7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    </w:t>
      </w:r>
      <w:r w:rsidR="00914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5F7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С.А.Шикалов</w:t>
      </w:r>
    </w:p>
    <w:p w:rsidR="005F79D4" w:rsidRPr="005F79D4" w:rsidRDefault="005F79D4" w:rsidP="005F79D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F79D4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Бабошин</w:t>
      </w:r>
      <w:proofErr w:type="spellEnd"/>
      <w:r w:rsidRPr="005F7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А.В.</w:t>
      </w:r>
    </w:p>
    <w:p w:rsidR="005F79D4" w:rsidRPr="005F79D4" w:rsidRDefault="005F79D4" w:rsidP="005F79D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F79D4" w:rsidRPr="005F79D4" w:rsidSect="008862A3">
          <w:pgSz w:w="11906" w:h="16838"/>
          <w:pgMar w:top="284" w:right="849" w:bottom="142" w:left="1418" w:header="709" w:footer="709" w:gutter="0"/>
          <w:cols w:space="708"/>
          <w:docGrid w:linePitch="360"/>
        </w:sectPr>
      </w:pPr>
      <w:r w:rsidRPr="005F79D4">
        <w:rPr>
          <w:rFonts w:ascii="Times New Roman" w:eastAsia="Times New Roman" w:hAnsi="Times New Roman" w:cs="Times New Roman"/>
          <w:sz w:val="20"/>
          <w:szCs w:val="20"/>
          <w:lang w:eastAsia="ru-RU"/>
        </w:rPr>
        <w:t>52309</w:t>
      </w:r>
    </w:p>
    <w:p w:rsidR="005F79D4" w:rsidRPr="005F79D4" w:rsidRDefault="005F79D4" w:rsidP="005F79D4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9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5F79D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F7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79D4" w:rsidRPr="005F79D4" w:rsidRDefault="005F79D4" w:rsidP="005F79D4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5F79D4" w:rsidRPr="005F79D4" w:rsidRDefault="005F79D4" w:rsidP="005F79D4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5F79D4" w:rsidRPr="005F79D4" w:rsidRDefault="005F79D4" w:rsidP="005F79D4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9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5F79D4" w:rsidRPr="005F79D4" w:rsidRDefault="008862A3" w:rsidP="005F79D4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09</w:t>
      </w:r>
      <w:r w:rsidR="005F79D4" w:rsidRPr="005F79D4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.09.2016г.</w:t>
      </w:r>
      <w:r w:rsidR="00362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79D4" w:rsidRPr="005F79D4">
        <w:rPr>
          <w:rFonts w:ascii="Times New Roman" w:eastAsia="Times New Roman" w:hAnsi="Times New Roman" w:cs="Times New Roman"/>
          <w:sz w:val="24"/>
          <w:szCs w:val="24"/>
          <w:lang w:eastAsia="ru-RU"/>
        </w:rPr>
        <w:t>№ 249-па</w:t>
      </w:r>
    </w:p>
    <w:p w:rsidR="005F79D4" w:rsidRPr="005F79D4" w:rsidRDefault="005F79D4" w:rsidP="005F79D4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9D4" w:rsidRPr="005F79D4" w:rsidRDefault="005F79D4" w:rsidP="005F7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9D4" w:rsidRPr="005F79D4" w:rsidRDefault="005F79D4" w:rsidP="005F7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79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5F79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5F79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5F79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5F79D4" w:rsidRPr="005F79D4" w:rsidRDefault="005F79D4" w:rsidP="005F7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5F79D4" w:rsidRPr="005F79D4" w:rsidTr="008862A3">
        <w:trPr>
          <w:tblCellSpacing w:w="15" w:type="dxa"/>
        </w:trPr>
        <w:tc>
          <w:tcPr>
            <w:tcW w:w="1250" w:type="pc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5F79D4" w:rsidRPr="005F79D4" w:rsidTr="008862A3">
        <w:trPr>
          <w:tblCellSpacing w:w="15" w:type="dxa"/>
        </w:trPr>
        <w:tc>
          <w:tcPr>
            <w:tcW w:w="225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187026, Ленинградская обл</w:t>
            </w:r>
            <w:r w:rsidR="008862A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Никольское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ул</w:t>
            </w:r>
            <w:r w:rsidR="008862A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ЗЕЛЕНАЯ, 32 , +7 (81361) 56832 , nikolskoeadm@mail.ru</w:t>
            </w:r>
          </w:p>
        </w:tc>
      </w:tr>
      <w:tr w:rsidR="005F79D4" w:rsidRPr="005F79D4" w:rsidTr="008862A3">
        <w:trPr>
          <w:tblCellSpacing w:w="15" w:type="dxa"/>
        </w:trPr>
        <w:tc>
          <w:tcPr>
            <w:tcW w:w="225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5F79D4" w:rsidRPr="005F79D4" w:rsidTr="008862A3">
        <w:trPr>
          <w:tblCellSpacing w:w="15" w:type="dxa"/>
        </w:trPr>
        <w:tc>
          <w:tcPr>
            <w:tcW w:w="225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5F79D4" w:rsidRPr="005F79D4" w:rsidTr="008862A3">
        <w:trPr>
          <w:tblCellSpacing w:w="15" w:type="dxa"/>
        </w:trPr>
        <w:tc>
          <w:tcPr>
            <w:tcW w:w="225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5F79D4" w:rsidRPr="005F79D4" w:rsidRDefault="005F79D4" w:rsidP="005F79D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7"/>
        <w:gridCol w:w="492"/>
        <w:gridCol w:w="725"/>
        <w:gridCol w:w="387"/>
        <w:gridCol w:w="1453"/>
        <w:gridCol w:w="1620"/>
        <w:gridCol w:w="627"/>
        <w:gridCol w:w="654"/>
        <w:gridCol w:w="1028"/>
        <w:gridCol w:w="986"/>
        <w:gridCol w:w="724"/>
        <w:gridCol w:w="1001"/>
        <w:gridCol w:w="1000"/>
        <w:gridCol w:w="1276"/>
        <w:gridCol w:w="1368"/>
      </w:tblGrid>
      <w:tr w:rsidR="005F79D4" w:rsidRPr="005F79D4" w:rsidTr="008862A3">
        <w:tc>
          <w:tcPr>
            <w:tcW w:w="1367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492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725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9480" w:type="dxa"/>
            <w:gridSpan w:val="10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1368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8862A3" w:rsidRPr="005F79D4" w:rsidTr="008862A3">
        <w:tc>
          <w:tcPr>
            <w:tcW w:w="1367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453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620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627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654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028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986" w:type="dxa"/>
            <w:vMerge w:val="restart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725" w:type="dxa"/>
            <w:gridSpan w:val="3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1276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86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2001" w:type="dxa"/>
            <w:gridSpan w:val="2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1276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2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725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87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53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620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27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54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028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986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724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001" w:type="dxa"/>
            <w:gridSpan w:val="2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368" w:type="dxa"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озеленению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vMerge w:val="restar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vMerge w:val="restar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vMerge w:val="restar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санитарно-омолаживающей опиловке деревьев и кустов на территории Никольского городского поселения Тосненского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986" w:type="dxa"/>
            <w:vMerge w:val="restar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724" w:type="dxa"/>
            <w:vMerge w:val="restar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01" w:type="dxa"/>
            <w:gridSpan w:val="2"/>
            <w:vMerge w:val="restart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</w:p>
        </w:tc>
        <w:tc>
          <w:tcPr>
            <w:tcW w:w="1276" w:type="dxa"/>
            <w:vMerge w:val="restar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vMerge w:val="restar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387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986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01" w:type="dxa"/>
            <w:gridSpan w:val="2"/>
            <w:vMerge/>
            <w:vAlign w:val="center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387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986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01" w:type="dxa"/>
            <w:gridSpan w:val="2"/>
            <w:vMerge/>
            <w:vAlign w:val="center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42.21.22.110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инженерных сетей водоснабжения и водоотведения на территории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8862A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емонт существующего самотечного канализационного коллектора ремонт водопровода по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оветский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п. Гладкое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2664,94794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26,64948  /  133,24738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.Ч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36.00.20.130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холодного водоснабжения и водоотведения на территории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8862A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беспечение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холодного водоснабжения и водоотведение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М3</w:t>
            </w: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(150,75492)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 (11)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(213)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(437,256)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(4,424)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71.12.1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финансово-техническому контролю для нужд Никольского городского поселения Тосненского района Ленинградской области.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проверке сметной документации и составлению сметной документации, функций технического надзора, оказание услуг финансового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аудита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(32)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01405029990110630244 (32)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12,07  /  60,35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организации, подготовки, оформлению и проведению 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Организация, подготовка, оформление и проведение праздничных мероприятий на территории Никольского городского поселения Тосненского района Ленинградс</w:t>
            </w:r>
            <w:r w:rsidR="008862A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кой области. 71-ая годовщина ВОВ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День России, Торжественные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мероприятия памяти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 Князя Александра Невского, День города Никольское.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техническому обслуживанию объектов наружного освещения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обустройству контейнерных площадок на территории Никольского городского поселения Тосненского района Ленинградской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контейнерных площадок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6,71705  /  33,58523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контейнерных площадок, вывоз и утилизация ТБО для нужд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8862A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бслуживание контейнерных площадок, вывоз и утилизация ТБО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ул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информационных услуг (услуги по адаптации и сопровождению экземпляров Специальных Выпусков Систем) с использованием следующих экземпляр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Специального(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Информационные услуги с использованием 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4,41418  /  44,14179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связи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связи, местной и внутризоновой телефонной связи, передача данных и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(161,85)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01405031200113288244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отлову безнадзорных животных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Отлов безнадзорных животных на территории Никольского городского поселения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43.12.11.140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борьбе с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борщевиком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362AC0" w:rsidRDefault="005F79D4" w:rsidP="00362A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5F79D4" w:rsidRPr="005F79D4" w:rsidRDefault="005F79D4" w:rsidP="00362AC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8862A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орьб</w:t>
            </w:r>
            <w:r w:rsidR="008862A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 борщевиком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  /  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требованиям безопасности. Транспортные средства должны быть: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зарегистрированы в ГИБДД, пройти техосмотр в установленном порядке, в нормальном техническом 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апреля 2016 г по июнь 2016 г на территории Никольского поселения Тосненского района Ленинградской области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ручную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проектированию объекта: "Распределительный газопровод по ул.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Дачная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Вишневая г. Никольское"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1838,7471 / 1287,12297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18,38747  /  91,93736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01405021100113200414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газопровода по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коммунальных сетей и замена существующего насосного оборудования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насосного оборудования КНС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8862A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становка дорожных знаков постоянной дислокации, нанесение дорожной разметки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искусственных дорожных неровностей на улице Школьная, район ул. Октябрьская.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паспортизации автодорог общего пользования местного значения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 работ по постановке на кадастровый учет автодорог общего пользования местного значения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81.29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81.29.12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 по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  /  45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Возникновение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01404091010170140244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7,53169  /  37,65846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014040910101S0140244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(91,51207)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8,42412  /  42,1206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проектно-контрольным мероприятиям для нужд Никольского городского поселения Тосненского района Ленинградской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составлению сметной документации, проверке сметной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документации, при проведении работ по ремонту дорог.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(300)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(200)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01403090810111570244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проверке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тех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остояния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гидрантов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Освидетельствование пожарных гидрантов на соответствие предъявляемым требованиям в количестве 65 шт.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замене пожарных гидрантов на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7 (семи) пожарных гидрантов предприятиями, имеющими лицензию на выполнение данных работ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Плата за муниципальное жилье НКО «Фонд капитального ремонта» на территории Никольского городского поселения Тосненского района Ленинградской области в 2016 году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текущему ремонту муниципального фонда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25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поставке коммунальных услуг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области в многоквартирных домах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во втором квартале 2016 г.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 по охране здания администрации Никольского городского поселения Тосненского района Ленинградской области вневедо</w:t>
            </w:r>
            <w:r w:rsidR="008862A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ственной охраной и здания ЗАГС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Техобслуживание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системы пожарной сигнализации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си</w:t>
            </w:r>
            <w:r w:rsidR="008862A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гнализации в здании администра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ции Никольского городского поселения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оргтехники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оргтехники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телефонной станции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телефонной станции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мойке автомобилей для нужд администрации Никольского городского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мойке трех автомобилей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ремонту автомобилей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плановому, текущему ремонту</w:t>
            </w:r>
            <w:r w:rsidR="008862A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трех автомобилей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65.12.3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65.12.21.000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страхованию автомобилей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(КАСКО и ОСАГО)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194,22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1,9422  /  19,422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диспансеризации муниципальных служащих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диспансеризации муниципальных служащих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161,85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1,6185  /  16,185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Услуги оказывают</w:t>
            </w:r>
            <w:r w:rsidR="008862A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Услуги оказывают</w:t>
            </w:r>
            <w:r w:rsidR="008862A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процессоров (компьютеров) для нужд администрации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5F79D4" w:rsidRPr="005F79D4" w:rsidRDefault="005F79D4" w:rsidP="008862A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Участникам, заявки или окончательные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предложения которых содержат предложения о поставке товаров в соответствии с приказом Минэкономразвития России № 155 от 25.03.2014;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3.0GHz, Кэш L3 не менее 6mb. Кулер для процессора: 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1600,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менее 4Gb 1600МГц Жесткий диск: HDD не менее 500.0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перегрузки Корпус: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не менее 2 USB на верхней панели корпуса, кнопка включения на верхней панели корпуса 3 шт.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ад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инистрации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01405029990110603244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поставке теплоснабжения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полиграфических работ для нужд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10.89.7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10.89.19.160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продуктов питания (пайков)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ойка высо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 давления, материал помпы силумин, подключение к водопроводу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печатной продукции (полиграфической продукции)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Грамоты А-4 бумага 250 гр.-6 шт. Карманный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календарь: бумага 250 гр., </w:t>
            </w:r>
            <w:proofErr w:type="spellStart"/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нация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пошиву театральных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костюмов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01407070710112290244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ние 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путевок в ДОЛ, находящийся на территории Ленинградской области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55.20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55.20.11.000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временному трудоустройству подростков на базе МБОУ Никольского городского поселения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Оздоровитель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но-трудовой лагерь с дневным пре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быванием для подростков 14-18 лет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цветов для организации проведения торжественно-траурных мероприятий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Гвоздика одноголовая красная живая (срез гвоздики); Живые цветы (розы, срез), оформленные в моно-букеты (согласно техническому заданию)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перемещения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питания на праздничных и торжественных мероприятиях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мероприятии на 40 человек, посвященном Дню начала Блокады Ленинграда. Бюджет мероприятия 8000 руб. (в 3 квартале 2016 года). 2. Организация питания в ходе проведения двух мероприятий 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№ 52-ФЗ «О санитарно-эпидемиологическом благополучии населения»; -Закона РФ от 07.02.1992 № 2300-1 «О защите прав потребителей». Обслуживание мероприятий персоналом поставщика обязательно и должно быть включено в стоимость организации питания. В стоимость организации питания на мероприятии должны быть также включены все расходы на доставку продуктов к месту проведения мероприятия, одноразовую посуду, скатерти, салфетки и т.п.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620244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18.12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изготовлению полиграфической продукции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почетного гражданина. Открытки: Картон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Изготовление приглашений в течение 5-ти дней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оригинал-макета, доставка Заказчику транспортом Исполнителя. ГОСТ 6658-75; конверты для открыток: С самоклеящимся клапаном по длинной стороне, из бумаги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на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лицевой стороне.</w:t>
            </w:r>
            <w:r w:rsidR="003956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конверте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Доставка Заказчику в течение 5-ти дней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двухцветный, тон синий,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углов, прошивка нитью по периметру цветом, соответствующим переплетному материалу. Разработка дизайна, оригинал-макета и изготовление штампов для тиснения фольгой позолотной герба поселения и текста на лицевой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стороне. Утверждение у заказчика оригинал-макета. Формат вкладыша – 450х320 мм, бумага мелованная 250 г/м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дипломов на бумаге мелованной250 г/м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Из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0111570244 (5,59)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сладких новогодних подарков детям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Сладкий новогодний набор для детей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изготовлению и доставке баннеров для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зготовление баннеров 4 шт. изготовление бан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еров о запрете купания 0.8м х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0111570244 (5,3)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362AC0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л. Лесная, д. 4. Площадь 73,4 м</w:t>
            </w:r>
            <w:proofErr w:type="gramStart"/>
            <w:r w:rsidR="00362AC0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362AC0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237. Площадь 92,4 м</w:t>
            </w:r>
            <w:proofErr w:type="gramStart"/>
            <w:r w:rsidR="00362AC0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362AC0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225. Площадь 71,1 м</w:t>
            </w:r>
            <w:proofErr w:type="gramStart"/>
            <w:r w:rsidR="00362AC0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362AC0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П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ервомайская, д. 3. Площадь 21 м</w:t>
            </w:r>
            <w:proofErr w:type="gramStart"/>
            <w:r w:rsidR="00362AC0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заказчиком,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362AC0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16. Площадь 155,3 м</w:t>
            </w:r>
            <w:proofErr w:type="gramStart"/>
            <w:r w:rsidR="00362AC0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362AC0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18. Площадь 345,1 м</w:t>
            </w:r>
            <w:proofErr w:type="gramStart"/>
            <w:r w:rsidR="00362AC0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362AC0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Ок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тябрьская, д. 11а. Площадь 96 м</w:t>
            </w:r>
            <w:proofErr w:type="gramStart"/>
            <w:r w:rsidR="00362AC0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технических планов объектов недвижимости для нужд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  /  8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пос.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2,3  /  11,5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ж/д ст. Пустынька, г.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Никольское</w:t>
            </w:r>
            <w:proofErr w:type="gramEnd"/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ЗУ с/х назначения (схема расположения на ККТ, межевой план, 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Комплексные кадастровые работы в отношении 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на ККТ, межевой план, кадастровый паспорт). Земельные участки в черте населенного пункта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пожарных водоемов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Очистка пожарных водоемов от мусора, ила, растительности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опашке территории поселения, прилегающей к лесам для нужд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устройство защитной полосы на пути распространения низовых пожаров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проведению праздничного мероприятия Нового Года на территории Никольского городского поселения в 2016 году.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362A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украшению города, установке елей, проведение праздника Новый год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860,533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8,60533  /  43,02665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третьем квартале 2016 г.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четвертом квартале 2016 г.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утилизации отходов 1-4 класса (шин) для нужд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тилизации отходов 1-4 класса опасности - автомобильных шин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71.12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71.12.13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схемы теплоснабжения зданий администрации Никольского городского поселения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схемы теплоснабжения зданий администрации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Запрос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 светодиодных ла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сентябрь 2016 г на территории Никольского поселения Тосненского района Ленинградской области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9562B" w:rsidRPr="005F79D4" w:rsidRDefault="005F79D4" w:rsidP="003956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38.11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5F79D4" w:rsidRPr="005F79D4" w:rsidRDefault="005F79D4" w:rsidP="00362A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1700,453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17,00453  / 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85,02265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контейнерных площадок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362A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емонт контейнерных площадок на территории поселения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01403090810111570244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71.11.3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составлению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сметной документации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 для проведения конкурсных процедур.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0110100244 (11)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1,54  /  15,4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Открытый конкурс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производственного аудита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(33)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2,64  /  26,4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контролю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выполнению функций технического надзора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(21)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  /  44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101,96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наградной продукции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Медаль корпусная металлическая, укомплектованная Российской лентой, оборотной прозрачной наклейкой на реверс медали и вкладышем—эмблемой. Штамповка. Материал: сталь,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эмаль: цвета российского флага. Толщина: 2-2,5 мм, d от 50-55 мм. Лента тканевая «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шириной 20-20,5 мм и длиной 500-820 мм, обработана стачным швом на угол, с застроченным кольцом и карабином, с продольными полосами белого, синего и красного цветов шириной 0,6-0,7см. Полосы имеют одинаковую ширину.</w:t>
            </w:r>
            <w:r w:rsidR="003956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медалей: 1место-10шт.,2 место-10 шт.,3 место-10 шт. Кубок: основание - мрамор, чаша из металла с фигурой по заранее согласованном</w:t>
            </w:r>
            <w:r w:rsidR="003956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 с заказчиком виду спорта. Кол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ичество кубков:3 штуки.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сувенирной продукции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84.11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.33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81.22.12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Санитарное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содержание территории жилой застройки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5F79D4" w:rsidRPr="005F79D4" w:rsidRDefault="005F79D4" w:rsidP="00362A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22,42907  / 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224,29069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Механизированная уборка жилой застройки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Уборка и подметание мусора спец. техникой. Вывоз и утилизация мусора на лицензированный полигон.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4,99603  /  24,98014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Новогодние гирлянд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 для украшения города. Использование на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открытом воздухе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362AC0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Осущ</w:t>
            </w:r>
            <w:r w:rsidR="005F79D4"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ествление технического надзора при проведении дорожных работ на территории Никольского городского поселения Тосненского района Ленинградской области</w:t>
            </w:r>
            <w:r w:rsidR="005F79D4"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ествление технического надзора при проведении дорожных работ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(100)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«Ремонт дворовой территории по адресу: г. Никольское, Советский пр., д. 217. «Ремонт дворовой территории по адресу: г. Никольское, Советский пр., д. 221. «Ремонт дворовой территории по адресу: г. Никольское, Советский пр., д. 243.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ул. Пионерская (между д/садом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№18 и школой - гимназией №1)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части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автодороги по адресу: г. Никольское, ул. Пионерская (между д/садом №18 и школой - гимназией №1)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17,71512  /  177,1512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ремонту дворовой территории по адресу: г. Никольское,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15,07776  /  150,77756  /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Ленинградской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1,86603  /  9,33015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Ленинградской области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и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уходу за зелеными насаждениями на территории жилой застройки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4,99203  /  24,96017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ым органом предусмотренного планом-графиком размещения заказа.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ливневой и дренажной систем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362A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Обслуживание ливневой канализации, обслуживание и очистка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дренажных колодцев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зготовление и замена знаков пожарной безопасности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дополнительной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362A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 Уборка и подметание мусора спец. техникой. Вывоз и утилизация мусора на лицензированный полигон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(4751,96853)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(427,86592)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25,89917  /  258,99172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д. 10 и Советский проспект д. 243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емонт проезда между домами по ул. Первомайская, д. 10 и Советский проспект д. 243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проведению ямочного ремонта автомобильных дорог общего пользования и дворовых территорий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Ямочный ремонт проездов S=326 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Ремонт дороги по ручейному переулку 129х3 м2, Ямочный ремонт дворовых территорий S=187 м2.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989,46186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(197,89237)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(791,56949)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9,89462  /  49,47309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устройству тротуаров по адресам: г. Никольское, Советский проспект д.237 и Советский проспект д. 239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 проспект д.237 - 111 м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Советский проспект д.239 - 148,7 м2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857,23106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8,57231  /  42,86155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5F79D4" w:rsidRPr="005F79D4" w:rsidRDefault="005F79D4" w:rsidP="00362AC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ориентированным некоммерческим организациям (в соответствии со Статьей 30 Федерального закона № 44-ФЗ);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552,72498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5,52725  /  27,63625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размещения заказа, срока исполнения контракта.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71.20.7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Оценка условий труда и обследование рабочих мест администрации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Оценка условий труда и обследование рабочих мест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71.12.35.120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комплекса работ по инвентаризации элементов благоустройства территории на основе контрольно-исполнительной инженерной топографо-геодезической сьемки застроенной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Планы объектов инвентаризации, инвентаризационные ведомости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1033,5838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10,33584  /  51,67919  /  -</w:t>
            </w: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695,1628 образовавшаяся экономия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491,7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432,1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482,394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27.40.39.190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светодиодных ламп уличного освещения для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нужд администрации Никольского поселения Тосненского района Ленинградской области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Приобретение 36 светодиодных ла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="00362AC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198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Образовавшаяся экономия от использования в текущем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финансовом году бюджетных ассигнований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01401139130171330242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26.20.2</w:t>
            </w: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26.20.18.000</w:t>
            </w: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лазерного МФУ (Многофункциональное устройство) для нужд администрации Никольского городского поселения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Лазерное монохромное МФУ, формат А</w:t>
            </w: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proofErr w:type="gram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двусторонний </w:t>
            </w:r>
            <w:proofErr w:type="spell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автоподатчик</w:t>
            </w:r>
            <w:proofErr w:type="spellEnd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объем памяти 512 МБ</w:t>
            </w: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18,08633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01" w:type="dxa"/>
            <w:gridSpan w:val="2"/>
            <w:hideMark/>
          </w:tcPr>
          <w:p w:rsidR="005F79D4" w:rsidRPr="005F79D4" w:rsidRDefault="005F79D4" w:rsidP="008862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1276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5F79D4" w:rsidRPr="005F79D4" w:rsidTr="008862A3">
        <w:tc>
          <w:tcPr>
            <w:tcW w:w="14708" w:type="dxa"/>
            <w:gridSpan w:val="15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281,10678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550,182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758,061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01401139130171330244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1,035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01401049130100040112</w:t>
            </w: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44,848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F79D4" w:rsidRPr="005F79D4" w:rsidTr="008862A3">
        <w:tc>
          <w:tcPr>
            <w:tcW w:w="14708" w:type="dxa"/>
            <w:gridSpan w:val="15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5511,20486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F79D4" w:rsidRPr="005F79D4" w:rsidTr="008862A3">
        <w:tc>
          <w:tcPr>
            <w:tcW w:w="14708" w:type="dxa"/>
            <w:gridSpan w:val="15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F79D4" w:rsidRPr="005F79D4" w:rsidTr="008862A3">
        <w:tc>
          <w:tcPr>
            <w:tcW w:w="14708" w:type="dxa"/>
            <w:gridSpan w:val="15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29255,70771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F79D4" w:rsidRPr="005F79D4" w:rsidTr="008862A3">
        <w:tc>
          <w:tcPr>
            <w:tcW w:w="14708" w:type="dxa"/>
            <w:gridSpan w:val="15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5973,93713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5F79D4" w:rsidRPr="005F79D4" w:rsidTr="008862A3">
        <w:tc>
          <w:tcPr>
            <w:tcW w:w="14708" w:type="dxa"/>
            <w:gridSpan w:val="15"/>
            <w:hideMark/>
          </w:tcPr>
          <w:p w:rsidR="005F79D4" w:rsidRPr="005F79D4" w:rsidRDefault="005F79D4" w:rsidP="005F79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8862A3" w:rsidRPr="005F79D4" w:rsidTr="008862A3">
        <w:tc>
          <w:tcPr>
            <w:tcW w:w="136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92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5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20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27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2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79977,17557 / 79425,55144</w:t>
            </w:r>
          </w:p>
        </w:tc>
        <w:tc>
          <w:tcPr>
            <w:tcW w:w="986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4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1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76" w:type="dxa"/>
            <w:gridSpan w:val="2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Электронный аукцион, Запрос котировок, Открытый конкурс, Закупка у единственного поставщика (подрядчика,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1368" w:type="dxa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5F79D4" w:rsidRPr="005F79D4" w:rsidRDefault="005F79D4" w:rsidP="005F7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6"/>
        <w:gridCol w:w="700"/>
        <w:gridCol w:w="2336"/>
        <w:gridCol w:w="5836"/>
      </w:tblGrid>
      <w:tr w:rsidR="005F79D4" w:rsidRPr="005F79D4" w:rsidTr="008862A3">
        <w:tc>
          <w:tcPr>
            <w:tcW w:w="1250" w:type="pct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5F79D4" w:rsidRPr="005F79D4" w:rsidRDefault="005F79D4" w:rsidP="005F79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5F79D4" w:rsidRPr="005F79D4" w:rsidRDefault="005F79D4" w:rsidP="005F79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09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сентября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5F79D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</w:p>
        </w:tc>
      </w:tr>
    </w:tbl>
    <w:p w:rsidR="005F79D4" w:rsidRPr="005F79D4" w:rsidRDefault="005F79D4" w:rsidP="005F7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1D9" w:rsidRDefault="00EE51D9"/>
    <w:sectPr w:rsidR="00EE51D9" w:rsidSect="00362AC0">
      <w:pgSz w:w="16838" w:h="11906" w:orient="landscape"/>
      <w:pgMar w:top="851" w:right="1080" w:bottom="709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4EC5"/>
    <w:multiLevelType w:val="multilevel"/>
    <w:tmpl w:val="4A34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A21AB"/>
    <w:multiLevelType w:val="multilevel"/>
    <w:tmpl w:val="C8B41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AD3B63"/>
    <w:multiLevelType w:val="multilevel"/>
    <w:tmpl w:val="F244A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D3722"/>
    <w:multiLevelType w:val="multilevel"/>
    <w:tmpl w:val="BF56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B3402D"/>
    <w:multiLevelType w:val="multilevel"/>
    <w:tmpl w:val="8674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1B0192"/>
    <w:multiLevelType w:val="multilevel"/>
    <w:tmpl w:val="FDFE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A568A1"/>
    <w:multiLevelType w:val="multilevel"/>
    <w:tmpl w:val="7382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3806E8"/>
    <w:multiLevelType w:val="multilevel"/>
    <w:tmpl w:val="3464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A953B1"/>
    <w:multiLevelType w:val="multilevel"/>
    <w:tmpl w:val="C50A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6A6DAB"/>
    <w:multiLevelType w:val="multilevel"/>
    <w:tmpl w:val="EBF6C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B52524"/>
    <w:multiLevelType w:val="multilevel"/>
    <w:tmpl w:val="42D07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B11F78"/>
    <w:multiLevelType w:val="multilevel"/>
    <w:tmpl w:val="0B20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5701F4"/>
    <w:multiLevelType w:val="multilevel"/>
    <w:tmpl w:val="52A6F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F5370A"/>
    <w:multiLevelType w:val="multilevel"/>
    <w:tmpl w:val="7938B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E1085F"/>
    <w:multiLevelType w:val="multilevel"/>
    <w:tmpl w:val="B8EA9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2C4E30"/>
    <w:multiLevelType w:val="multilevel"/>
    <w:tmpl w:val="A06C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920AC9"/>
    <w:multiLevelType w:val="multilevel"/>
    <w:tmpl w:val="F7E2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E64C17"/>
    <w:multiLevelType w:val="multilevel"/>
    <w:tmpl w:val="CB4A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627453"/>
    <w:multiLevelType w:val="multilevel"/>
    <w:tmpl w:val="EAE0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A35446"/>
    <w:multiLevelType w:val="multilevel"/>
    <w:tmpl w:val="96441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E8702B"/>
    <w:multiLevelType w:val="multilevel"/>
    <w:tmpl w:val="CC22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EC673A"/>
    <w:multiLevelType w:val="multilevel"/>
    <w:tmpl w:val="EFCE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AE7591"/>
    <w:multiLevelType w:val="multilevel"/>
    <w:tmpl w:val="247C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FE6FCB"/>
    <w:multiLevelType w:val="multilevel"/>
    <w:tmpl w:val="0814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DD3371"/>
    <w:multiLevelType w:val="multilevel"/>
    <w:tmpl w:val="6DC81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1C35BB"/>
    <w:multiLevelType w:val="multilevel"/>
    <w:tmpl w:val="23B4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9C4386"/>
    <w:multiLevelType w:val="multilevel"/>
    <w:tmpl w:val="36D6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6864AE"/>
    <w:multiLevelType w:val="multilevel"/>
    <w:tmpl w:val="7C9E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EA044C"/>
    <w:multiLevelType w:val="multilevel"/>
    <w:tmpl w:val="1C00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8F3240C"/>
    <w:multiLevelType w:val="multilevel"/>
    <w:tmpl w:val="0F2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467A67"/>
    <w:multiLevelType w:val="multilevel"/>
    <w:tmpl w:val="02FC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C8A7342"/>
    <w:multiLevelType w:val="multilevel"/>
    <w:tmpl w:val="00A8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A81C0F"/>
    <w:multiLevelType w:val="multilevel"/>
    <w:tmpl w:val="46A8F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167FB3"/>
    <w:multiLevelType w:val="multilevel"/>
    <w:tmpl w:val="9F14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1A1816"/>
    <w:multiLevelType w:val="multilevel"/>
    <w:tmpl w:val="646A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1F5B95"/>
    <w:multiLevelType w:val="multilevel"/>
    <w:tmpl w:val="4B30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3F2489"/>
    <w:multiLevelType w:val="multilevel"/>
    <w:tmpl w:val="A702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170433"/>
    <w:multiLevelType w:val="multilevel"/>
    <w:tmpl w:val="7C3C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2B33F4"/>
    <w:multiLevelType w:val="multilevel"/>
    <w:tmpl w:val="B9C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E927F6"/>
    <w:multiLevelType w:val="multilevel"/>
    <w:tmpl w:val="A4AC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D92ED6"/>
    <w:multiLevelType w:val="multilevel"/>
    <w:tmpl w:val="FEAC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B75CF0"/>
    <w:multiLevelType w:val="multilevel"/>
    <w:tmpl w:val="3FB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"/>
  </w:num>
  <w:num w:numId="3">
    <w:abstractNumId w:val="34"/>
  </w:num>
  <w:num w:numId="4">
    <w:abstractNumId w:val="38"/>
  </w:num>
  <w:num w:numId="5">
    <w:abstractNumId w:val="21"/>
  </w:num>
  <w:num w:numId="6">
    <w:abstractNumId w:val="19"/>
  </w:num>
  <w:num w:numId="7">
    <w:abstractNumId w:val="23"/>
  </w:num>
  <w:num w:numId="8">
    <w:abstractNumId w:val="30"/>
  </w:num>
  <w:num w:numId="9">
    <w:abstractNumId w:val="25"/>
  </w:num>
  <w:num w:numId="10">
    <w:abstractNumId w:val="18"/>
  </w:num>
  <w:num w:numId="11">
    <w:abstractNumId w:val="6"/>
  </w:num>
  <w:num w:numId="12">
    <w:abstractNumId w:val="20"/>
  </w:num>
  <w:num w:numId="13">
    <w:abstractNumId w:val="22"/>
  </w:num>
  <w:num w:numId="14">
    <w:abstractNumId w:val="41"/>
  </w:num>
  <w:num w:numId="15">
    <w:abstractNumId w:val="0"/>
  </w:num>
  <w:num w:numId="16">
    <w:abstractNumId w:val="36"/>
  </w:num>
  <w:num w:numId="17">
    <w:abstractNumId w:val="4"/>
  </w:num>
  <w:num w:numId="18">
    <w:abstractNumId w:val="29"/>
  </w:num>
  <w:num w:numId="19">
    <w:abstractNumId w:val="33"/>
  </w:num>
  <w:num w:numId="20">
    <w:abstractNumId w:val="31"/>
  </w:num>
  <w:num w:numId="21">
    <w:abstractNumId w:val="8"/>
  </w:num>
  <w:num w:numId="22">
    <w:abstractNumId w:val="17"/>
  </w:num>
  <w:num w:numId="23">
    <w:abstractNumId w:val="9"/>
  </w:num>
  <w:num w:numId="24">
    <w:abstractNumId w:val="14"/>
  </w:num>
  <w:num w:numId="25">
    <w:abstractNumId w:val="12"/>
  </w:num>
  <w:num w:numId="26">
    <w:abstractNumId w:val="15"/>
  </w:num>
  <w:num w:numId="27">
    <w:abstractNumId w:val="5"/>
  </w:num>
  <w:num w:numId="28">
    <w:abstractNumId w:val="1"/>
  </w:num>
  <w:num w:numId="29">
    <w:abstractNumId w:val="40"/>
  </w:num>
  <w:num w:numId="30">
    <w:abstractNumId w:val="27"/>
  </w:num>
  <w:num w:numId="31">
    <w:abstractNumId w:val="24"/>
  </w:num>
  <w:num w:numId="32">
    <w:abstractNumId w:val="11"/>
  </w:num>
  <w:num w:numId="33">
    <w:abstractNumId w:val="39"/>
  </w:num>
  <w:num w:numId="34">
    <w:abstractNumId w:val="10"/>
  </w:num>
  <w:num w:numId="35">
    <w:abstractNumId w:val="35"/>
  </w:num>
  <w:num w:numId="36">
    <w:abstractNumId w:val="16"/>
  </w:num>
  <w:num w:numId="37">
    <w:abstractNumId w:val="28"/>
  </w:num>
  <w:num w:numId="38">
    <w:abstractNumId w:val="2"/>
  </w:num>
  <w:num w:numId="39">
    <w:abstractNumId w:val="13"/>
  </w:num>
  <w:num w:numId="40">
    <w:abstractNumId w:val="32"/>
  </w:num>
  <w:num w:numId="41">
    <w:abstractNumId w:val="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CBE"/>
    <w:rsid w:val="002A1CBE"/>
    <w:rsid w:val="00362AC0"/>
    <w:rsid w:val="0039562B"/>
    <w:rsid w:val="005F79D4"/>
    <w:rsid w:val="008862A3"/>
    <w:rsid w:val="00914188"/>
    <w:rsid w:val="00E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79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9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5F79D4"/>
  </w:style>
  <w:style w:type="paragraph" w:styleId="a3">
    <w:name w:val="Normal (Web)"/>
    <w:basedOn w:val="a"/>
    <w:rsid w:val="005F79D4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5F79D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5F79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5F79D4"/>
    <w:rPr>
      <w:color w:val="0000FF"/>
      <w:u w:val="single"/>
    </w:rPr>
  </w:style>
  <w:style w:type="character" w:styleId="a7">
    <w:name w:val="FollowedHyperlink"/>
    <w:uiPriority w:val="99"/>
    <w:unhideWhenUsed/>
    <w:rsid w:val="005F79D4"/>
    <w:rPr>
      <w:color w:val="800080"/>
      <w:u w:val="single"/>
    </w:rPr>
  </w:style>
  <w:style w:type="paragraph" w:customStyle="1" w:styleId="font5">
    <w:name w:val="font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5F79D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5F79D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5F79D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5F7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5F7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5F7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5F79D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F79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5F79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5F79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5F79D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5F79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5F79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5F79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5F79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5F79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5F79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5F79D4"/>
  </w:style>
  <w:style w:type="character" w:customStyle="1" w:styleId="st1">
    <w:name w:val="st1"/>
    <w:rsid w:val="005F79D4"/>
  </w:style>
  <w:style w:type="paragraph" w:customStyle="1" w:styleId="bold1">
    <w:name w:val="bold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5F79D4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Подзаголовок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5F79D4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5F79D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5F79D4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5F79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5F79D4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5F79D4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5F79D4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5F79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5F79D4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5F79D4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5F79D4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5F79D4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5F79D4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5F79D4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5F79D4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5F79D4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5F79D4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5F79D4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5F79D4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5F79D4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5F79D4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5F79D4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5F79D4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5F79D4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79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9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5F79D4"/>
  </w:style>
  <w:style w:type="paragraph" w:styleId="a3">
    <w:name w:val="Normal (Web)"/>
    <w:basedOn w:val="a"/>
    <w:rsid w:val="005F79D4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5F79D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5F79D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5F79D4"/>
    <w:rPr>
      <w:color w:val="0000FF"/>
      <w:u w:val="single"/>
    </w:rPr>
  </w:style>
  <w:style w:type="character" w:styleId="a7">
    <w:name w:val="FollowedHyperlink"/>
    <w:uiPriority w:val="99"/>
    <w:unhideWhenUsed/>
    <w:rsid w:val="005F79D4"/>
    <w:rPr>
      <w:color w:val="800080"/>
      <w:u w:val="single"/>
    </w:rPr>
  </w:style>
  <w:style w:type="paragraph" w:customStyle="1" w:styleId="font5">
    <w:name w:val="font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F79D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5F79D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5F79D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5F79D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5F7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5F7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5F79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5F79D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5F79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5F79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5F79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5F79D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5F79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5F79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5F79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5F79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5F79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5F7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5F79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5F79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5F79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5F79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5F79D4"/>
  </w:style>
  <w:style w:type="character" w:customStyle="1" w:styleId="st1">
    <w:name w:val="st1"/>
    <w:rsid w:val="005F79D4"/>
  </w:style>
  <w:style w:type="paragraph" w:customStyle="1" w:styleId="bold1">
    <w:name w:val="bold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5F79D4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Подзаголовок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5F79D4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5F79D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5F79D4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5F79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5F79D4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5F79D4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5F79D4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5F79D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5F79D4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5F79D4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5F79D4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5F79D4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5F79D4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5F79D4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5F79D4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5F79D4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5F79D4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5F79D4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5F79D4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5F79D4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5F79D4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5F79D4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5F79D4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5F79D4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5F79D4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5F7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5F79D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5F79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ikolskoecit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54</Pages>
  <Words>14792</Words>
  <Characters>84317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</cp:revision>
  <dcterms:created xsi:type="dcterms:W3CDTF">2016-09-22T14:17:00Z</dcterms:created>
  <dcterms:modified xsi:type="dcterms:W3CDTF">2016-09-22T14:43:00Z</dcterms:modified>
</cp:coreProperties>
</file>