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46" w:rsidRPr="00C66246" w:rsidRDefault="00C66246" w:rsidP="00C662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</w:pPr>
      <w:r w:rsidRPr="00C66246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ПРОЕКТ</w:t>
      </w:r>
    </w:p>
    <w:p w:rsidR="00C66246" w:rsidRPr="00C66246" w:rsidRDefault="00C66246" w:rsidP="00C66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6624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НИКОЛЬСКОЕ ГОРОДСКОЕ ПОСЕЛЕНИЕ</w:t>
      </w:r>
    </w:p>
    <w:p w:rsidR="00C66246" w:rsidRPr="00C66246" w:rsidRDefault="00C66246" w:rsidP="00C66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6624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ТОСНЕНСКОГО РАЙОНА ЛЕНИНГРАДСКОЙ ОБЛАСТИ</w:t>
      </w:r>
    </w:p>
    <w:p w:rsidR="00C66246" w:rsidRPr="00C66246" w:rsidRDefault="00C66246" w:rsidP="00C66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662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C66246" w:rsidRPr="00C66246" w:rsidRDefault="00C66246" w:rsidP="00C66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6624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АДМИНИСТРАЦИЯ </w:t>
      </w:r>
    </w:p>
    <w:p w:rsidR="00C66246" w:rsidRPr="00C66246" w:rsidRDefault="00C66246" w:rsidP="00C66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662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C66246" w:rsidRPr="00C66246" w:rsidRDefault="00C66246" w:rsidP="00C66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C6624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proofErr w:type="gramEnd"/>
      <w:r w:rsidRPr="00C6624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 С Т А Н О В Л Е Н И Е</w:t>
      </w:r>
    </w:p>
    <w:p w:rsidR="00C66246" w:rsidRPr="00C66246" w:rsidRDefault="00C66246" w:rsidP="00C66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662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80052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___________                                                                                              </w:t>
      </w:r>
      <w:r w:rsidRPr="0080052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№ _____-па</w:t>
      </w:r>
    </w:p>
    <w:p w:rsidR="00C66246" w:rsidRPr="00C66246" w:rsidRDefault="00C66246" w:rsidP="00C66246">
      <w:pPr>
        <w:shd w:val="clear" w:color="auto" w:fill="FFFFFF"/>
        <w:spacing w:before="100" w:beforeAutospacing="1" w:after="150" w:afterAutospacing="1" w:line="240" w:lineRule="auto"/>
        <w:ind w:right="453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yellow"/>
          <w:lang w:eastAsia="ru-RU"/>
        </w:rPr>
      </w:pPr>
      <w:r w:rsidRPr="0080052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 организации создания мест накопления отработанных ртутьсодержащих ламп на территории Никольского г</w:t>
      </w:r>
      <w:r w:rsidR="00436A8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ородского поселения Тосненского </w:t>
      </w:r>
      <w:bookmarkStart w:id="0" w:name="_GoBack"/>
      <w:bookmarkEnd w:id="0"/>
      <w:r w:rsidRPr="00C6624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района Ленинградской области</w:t>
      </w:r>
    </w:p>
    <w:p w:rsidR="00C66246" w:rsidRPr="00FE73C1" w:rsidRDefault="00C66246" w:rsidP="00FE73C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FE73C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24.06.1998 N 89-ФЗ "Об отходах производства и потребления", Федеральным законом от 10.01.2002 N 7-ФЗ "Об охране окружающей среды",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FE73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73C1">
        <w:rPr>
          <w:rFonts w:ascii="Times New Roman" w:hAnsi="Times New Roman" w:cs="Times New Roman"/>
          <w:sz w:val="26"/>
          <w:szCs w:val="26"/>
        </w:rPr>
        <w:t>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28.12.2020 N 2314,  в целях обеспечения экологического и санитарно-эпидемиологического благоп</w:t>
      </w:r>
      <w:r w:rsidR="00C56F30">
        <w:rPr>
          <w:rFonts w:ascii="Times New Roman" w:hAnsi="Times New Roman" w:cs="Times New Roman"/>
          <w:sz w:val="26"/>
          <w:szCs w:val="26"/>
        </w:rPr>
        <w:t>олучия населения, предотвращения</w:t>
      </w:r>
      <w:r w:rsidRPr="00FE73C1">
        <w:rPr>
          <w:rFonts w:ascii="Times New Roman" w:hAnsi="Times New Roman" w:cs="Times New Roman"/>
          <w:sz w:val="26"/>
          <w:szCs w:val="26"/>
        </w:rPr>
        <w:t xml:space="preserve"> вредного воздействия на здоровье населения и обеспечения экологической безопасности при обращении с ртутьсодержащими отходами</w:t>
      </w:r>
      <w:r w:rsidR="00FE73C1">
        <w:rPr>
          <w:rFonts w:ascii="Times New Roman" w:hAnsi="Times New Roman" w:cs="Times New Roman"/>
          <w:sz w:val="26"/>
          <w:szCs w:val="26"/>
        </w:rPr>
        <w:t>,</w:t>
      </w:r>
      <w:r w:rsidRPr="00FE73C1">
        <w:rPr>
          <w:rFonts w:ascii="Times New Roman" w:hAnsi="Times New Roman" w:cs="Times New Roman"/>
          <w:sz w:val="26"/>
          <w:szCs w:val="26"/>
        </w:rPr>
        <w:t xml:space="preserve"> </w:t>
      </w:r>
      <w:r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администрация Никольского городского поселения Тосненского района Ленинградской области (далее – администрация) </w:t>
      </w:r>
      <w:proofErr w:type="gramEnd"/>
    </w:p>
    <w:p w:rsidR="00C66246" w:rsidRPr="00FE73C1" w:rsidRDefault="00C66246" w:rsidP="00FE73C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C66246" w:rsidRPr="00FE73C1" w:rsidRDefault="00C66246" w:rsidP="00FE73C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ПОСТАНОВЛЯЕТ:</w:t>
      </w:r>
    </w:p>
    <w:p w:rsidR="00C66246" w:rsidRPr="00FE73C1" w:rsidRDefault="00C66246" w:rsidP="00FE73C1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246" w:rsidRPr="00FE73C1" w:rsidRDefault="00C66246" w:rsidP="00FE73C1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3C1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Организовать на территории Никольского городского поселения Тосненского района Ленинградской области</w:t>
      </w:r>
      <w:r w:rsidR="00FE7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FB0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73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0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73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поселение)</w:t>
      </w:r>
      <w:r w:rsidRPr="00FE7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 – специальный контейнер, расположенный по адресу: </w:t>
      </w:r>
      <w:proofErr w:type="gramStart"/>
      <w:r w:rsidRPr="00FE7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Ленинградская область, </w:t>
      </w:r>
      <w:proofErr w:type="spellStart"/>
      <w:r w:rsidRPr="00FE73C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Тосненский</w:t>
      </w:r>
      <w:proofErr w:type="spellEnd"/>
      <w:r w:rsidRPr="00FE7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г. Никольское, ул. Садовая, д. 1а (в складском помещении).</w:t>
      </w:r>
      <w:proofErr w:type="gramEnd"/>
    </w:p>
    <w:p w:rsidR="00C66246" w:rsidRPr="00FE73C1" w:rsidRDefault="009A27C8" w:rsidP="00FE73C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="00C66246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gramStart"/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Правилами обращения с отходами производства и потребления в части </w:t>
      </w:r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28.12.2020</w:t>
      </w:r>
      <w:proofErr w:type="gramEnd"/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 2314.</w:t>
      </w:r>
    </w:p>
    <w:p w:rsidR="00C66246" w:rsidRPr="00FE73C1" w:rsidRDefault="009A27C8" w:rsidP="00FE73C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C66246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Отделу по организационной работе, делопроизводству и кадрам администрации организовать информирование </w:t>
      </w:r>
      <w:r w:rsidR="00FB027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потребителей</w:t>
      </w:r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 месте накопления отработанных ртутьс</w:t>
      </w:r>
      <w:r w:rsidR="009111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одержащих ламп путем размещения</w:t>
      </w:r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информации на официальном сайте Никольского городского поселения Тосненского района Ленинградской области в сети "Интернет" и на информационных стендах поселения.</w:t>
      </w:r>
    </w:p>
    <w:p w:rsidR="00C66246" w:rsidRPr="00FE73C1" w:rsidRDefault="009A27C8" w:rsidP="00FE73C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gramStart"/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Признать утратившими силу постановление администрации Никольского городского поселения Тосненского района Ленинградской области от 25.02.2019 № 76-па «Об определении мест первичного сбора, размещения и организации сбора отработанных ртутьсодержащих ламп у потребителей ртутьсодержащих ламп на территории Никольского городского поселения Тосненского района Ленинградской области»</w:t>
      </w:r>
      <w:r w:rsid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80052A" w:rsidRPr="00FE73C1">
        <w:rPr>
          <w:rFonts w:ascii="Times New Roman" w:hAnsi="Times New Roman" w:cs="Times New Roman"/>
          <w:sz w:val="26"/>
          <w:szCs w:val="26"/>
        </w:rPr>
        <w:t xml:space="preserve"> </w:t>
      </w:r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постановление администрации Никольского городского поселения Тосненского района Ленинградской области от 09.03.2021 № 14-па «О внесении изменений в Постановление администрации Никольского городского</w:t>
      </w:r>
      <w:proofErr w:type="gramEnd"/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поселения Тосненского района Ленинградской области от 25.02.2019 № 76-па «Об определении мест первичного сбора, размещения и организации сбора отработанных ртутьсодержащих ламп у потребителей ртутьсодержащих ламп на территории Никольского городского поселения Тосненского района Ленинградской области».</w:t>
      </w:r>
    </w:p>
    <w:p w:rsidR="0080052A" w:rsidRPr="00FE73C1" w:rsidRDefault="0091114D" w:rsidP="00FE73C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gramStart"/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Контроль за</w:t>
      </w:r>
      <w:proofErr w:type="gramEnd"/>
      <w:r w:rsidR="0080052A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инфраструктуре.</w:t>
      </w:r>
    </w:p>
    <w:p w:rsidR="00C66246" w:rsidRPr="00FE73C1" w:rsidRDefault="0091114D" w:rsidP="00FE73C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6</w:t>
      </w:r>
      <w:r w:rsidR="00C66246"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C66246" w:rsidRPr="00FE73C1" w:rsidRDefault="00C66246" w:rsidP="00FE73C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C66246" w:rsidRPr="00FE73C1" w:rsidRDefault="00C66246" w:rsidP="00FE73C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C66246" w:rsidRPr="00FE73C1" w:rsidRDefault="00C66246" w:rsidP="00FE73C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Исполняющий</w:t>
      </w:r>
      <w:proofErr w:type="gramEnd"/>
      <w:r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обязанности главы администрации</w:t>
      </w:r>
    </w:p>
    <w:p w:rsidR="00C66246" w:rsidRDefault="00C66246" w:rsidP="00FE73C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E73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заместитель главы администрации                                                         М.М. Антонов</w:t>
      </w:r>
    </w:p>
    <w:p w:rsidR="00FE73C1" w:rsidRDefault="00FE73C1" w:rsidP="00FE73C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36A84" w:rsidRDefault="00436A84" w:rsidP="00FE73C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36A84" w:rsidRDefault="00436A84" w:rsidP="00FE73C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36A84" w:rsidRDefault="00436A84" w:rsidP="00FE73C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1114D" w:rsidRDefault="0091114D" w:rsidP="00FE73C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1114D" w:rsidRDefault="0091114D" w:rsidP="00FE73C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1114D" w:rsidRDefault="0091114D" w:rsidP="00FE73C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1114D" w:rsidRDefault="0091114D" w:rsidP="00FE73C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36A84" w:rsidRDefault="00436A84" w:rsidP="00FE73C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FE73C1" w:rsidRDefault="00FE73C1" w:rsidP="00FE73C1">
      <w:pPr>
        <w:rPr>
          <w:rFonts w:ascii="Times New Roman" w:hAnsi="Times New Roman" w:cs="Times New Roman"/>
          <w:sz w:val="16"/>
          <w:szCs w:val="16"/>
        </w:rPr>
      </w:pPr>
      <w:r w:rsidRPr="00FE73C1">
        <w:rPr>
          <w:rFonts w:ascii="Times New Roman" w:hAnsi="Times New Roman" w:cs="Times New Roman"/>
          <w:sz w:val="16"/>
          <w:szCs w:val="16"/>
        </w:rPr>
        <w:t>Федотова Л.А., (тел.8-81361-520-78)</w:t>
      </w: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ПОЯСНИТЕЛЬНАЯ ЗАПИСКА</w:t>
      </w:r>
    </w:p>
    <w:p w:rsidR="00436A84" w:rsidRPr="00436A84" w:rsidRDefault="00436A84" w:rsidP="00436A8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постановления </w:t>
      </w:r>
      <w:r w:rsidR="000D1AED" w:rsidRPr="000D1A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Никольского городского поселения Тосненского района Ленинградской области</w:t>
      </w: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организации создания мест накопления отработанных ртутьсодержащих ламп на территории Никольского городского поселения Тосненского района Ленинградской области»</w:t>
      </w:r>
    </w:p>
    <w:p w:rsidR="00436A84" w:rsidRPr="00436A84" w:rsidRDefault="00436A84" w:rsidP="00436A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D1AED" w:rsidRDefault="000D1AED" w:rsidP="00436A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0D1A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Никольского городского поселения Тосненского района Ленинградской области «Об организации создания мест накопления отработанных ртутьсодержащих ламп на территории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 в связи с удовлетворением протеста </w:t>
      </w:r>
      <w:proofErr w:type="spellStart"/>
      <w:r w:rsidRPr="000D1AE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Тосненской</w:t>
      </w:r>
      <w:proofErr w:type="spellEnd"/>
      <w:r w:rsidRPr="000D1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прокуратуры от 14.12.2022 № 7-65-2022 (</w:t>
      </w:r>
      <w:proofErr w:type="spellStart"/>
      <w:r w:rsidRPr="000D1AED">
        <w:rPr>
          <w:rFonts w:ascii="Times New Roman" w:eastAsia="Times New Roman" w:hAnsi="Times New Roman" w:cs="Times New Roman"/>
          <w:sz w:val="26"/>
          <w:szCs w:val="26"/>
          <w:lang w:eastAsia="ru-RU"/>
        </w:rPr>
        <w:t>вх</w:t>
      </w:r>
      <w:proofErr w:type="spellEnd"/>
      <w:r w:rsidRPr="000D1AED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573/01-05-05.01 от 14.12.2022) на Порядок организации сбора отработанных ртутьсодержащих ламп на территории Никольского городского поселения Тосненского района Ленинградской области</w:t>
      </w:r>
      <w:proofErr w:type="gramEnd"/>
      <w:r w:rsidRPr="000D1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0D1AE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утвержденный</w:t>
      </w:r>
      <w:proofErr w:type="gramEnd"/>
      <w:r w:rsidRPr="000D1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Никольского городского поселения Тосненского района Ленинградской области от 25.02.2019 № 76-па.</w:t>
      </w:r>
    </w:p>
    <w:p w:rsidR="00436A84" w:rsidRPr="00436A84" w:rsidRDefault="00436A84" w:rsidP="000D1A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Предлагаемый  проект постановления направлен на </w:t>
      </w:r>
      <w:r w:rsidR="000D1AED" w:rsidRPr="000D1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</w:t>
      </w:r>
      <w:r w:rsidR="000D1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зацию</w:t>
      </w:r>
      <w:r w:rsidR="000D1AED" w:rsidRPr="000D1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создания мест накопления отработанных ртутьсодержащих ламп на территории Никольского городского поселения Тосненского района Ленинградской области</w:t>
      </w:r>
      <w:r w:rsidR="000D1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36A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действующим законодательством.</w:t>
      </w: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постановления не повлечет дополнительных расходов бюджета Никольского городского поселения Тосненского района Ленинградской области.</w:t>
      </w:r>
    </w:p>
    <w:p w:rsidR="00436A84" w:rsidRPr="00436A84" w:rsidRDefault="00436A84" w:rsidP="00436A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84" w:rsidRPr="00436A84" w:rsidRDefault="00436A84" w:rsidP="00436A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84" w:rsidRPr="00436A84" w:rsidRDefault="00436A84" w:rsidP="00436A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84" w:rsidRPr="00436A84" w:rsidRDefault="00436A84" w:rsidP="00436A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84" w:rsidRPr="00436A84" w:rsidRDefault="00436A84" w:rsidP="00436A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84" w:rsidRPr="00436A84" w:rsidRDefault="00436A84" w:rsidP="00436A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84" w:rsidRPr="00436A84" w:rsidRDefault="00436A84" w:rsidP="00436A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84" w:rsidRPr="00436A84" w:rsidRDefault="00436A84" w:rsidP="00436A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84" w:rsidRPr="00436A84" w:rsidRDefault="00436A84" w:rsidP="00436A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84" w:rsidRPr="00436A84" w:rsidRDefault="00436A84" w:rsidP="00436A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юридического отдела   </w:t>
      </w: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Л.А. Федотова</w:t>
      </w: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1AED" w:rsidRDefault="000D1AED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Заключение по результатам правовой экспертизы</w:t>
      </w:r>
    </w:p>
    <w:p w:rsid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</w:t>
      </w:r>
      <w:r w:rsidR="000D1AED" w:rsidRPr="000D1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постановления администрации Никольского городского поселения Тосненского района Ленинградской области «Об организации создания мест накопления отработанных ртутьсодержащих ламп на территории Никольского городского поселения Тосненского района Ленинградской области»</w:t>
      </w:r>
    </w:p>
    <w:p w:rsidR="000D1AED" w:rsidRPr="00436A84" w:rsidRDefault="000D1AED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 результатам </w:t>
      </w:r>
      <w:proofErr w:type="gramStart"/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правовой экспертизы проекта </w:t>
      </w:r>
      <w:r w:rsidR="000D1AED" w:rsidRPr="000D1A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Никольского городского поселения</w:t>
      </w:r>
      <w:proofErr w:type="gramEnd"/>
      <w:r w:rsidR="000D1AED" w:rsidRPr="000D1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Тосненского района Ленинградской области «Об организации создания мест накопления отработанных ртутьсодержащих ламп на территории Никольского городского поселения Тосненского района Ленинградской области»</w:t>
      </w: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 установлено следующее.</w:t>
      </w: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Принятие Постановления относится к компетенции Администрации Никольского городского поселения Тосненского района Ленинградской области. </w:t>
      </w: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соответствует требованиям действующего законодательства.</w:t>
      </w: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юридического отдела  </w:t>
      </w: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</w:t>
      </w:r>
      <w:proofErr w:type="spellStart"/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В.Ю.Бровкин</w:t>
      </w:r>
      <w:proofErr w:type="spellEnd"/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1AED" w:rsidRDefault="000D1AED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Заключение по результатам антикоррупционной экспертизы</w:t>
      </w:r>
    </w:p>
    <w:p w:rsidR="00436A84" w:rsidRDefault="00436A84" w:rsidP="000D1AED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</w:t>
      </w:r>
      <w:r w:rsidR="000D1AED" w:rsidRPr="000D1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постановления администрации Никольского городского поселения Тосненского района Ленинградской области «Об организации создания мест накопления отработанных ртутьсодержащих ламп на территории Никольского городского поселения Тосненского района Ленинградской области»</w:t>
      </w:r>
    </w:p>
    <w:p w:rsidR="000D1AED" w:rsidRPr="00436A84" w:rsidRDefault="000D1AED" w:rsidP="000D1AED">
      <w:pPr>
        <w:widowControl w:val="0"/>
        <w:autoSpaceDE w:val="0"/>
        <w:autoSpaceDN w:val="0"/>
        <w:adjustRightInd w:val="0"/>
        <w:spacing w:after="0" w:line="300" w:lineRule="auto"/>
        <w:ind w:left="851"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Антикоррупционная экспертиза проекта </w:t>
      </w:r>
      <w:r w:rsidR="000D1AED" w:rsidRPr="000D1A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Никольского городского поселения Тосненского района Ленинградской области «Об организации создания мест накопления отработанных ртутьсодержащих ламп на территории Никольского городского поселения Тосненского района Ленинградской области»</w:t>
      </w: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  проведена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</w:t>
      </w:r>
      <w:proofErr w:type="gramEnd"/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экспертизе нормативных правовых актов и проектов нормативных правовых актов», областным законом Ленинградской области от 17.06.2011 № 44-оз «О противодействии коррупции в Ленинградской области», решением совета депутатов Никольского городского поселения Тосненского района Ленинградской области от 30.08.2011 № 132 «Об антикоррупционной экспертизе нормативных правовых актов муниципального образования Никольское городское поселение Тосненского района Ленинградской области и проектов нормативных правовых актов муниципального образования Никольское городское поселение</w:t>
      </w:r>
      <w:proofErr w:type="gramEnd"/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Тосненского района Ленинградской области».</w:t>
      </w: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 результатам проведения антикоррупционной экспертизы установлено, что </w:t>
      </w:r>
      <w:proofErr w:type="spellStart"/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проекте Постановления отсутствуют.</w:t>
      </w: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юридического отдела  </w:t>
      </w: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</w:t>
      </w:r>
      <w:proofErr w:type="spellStart"/>
      <w:r w:rsidRPr="00436A84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В.Ю.Бровкин</w:t>
      </w:r>
      <w:proofErr w:type="spellEnd"/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275" w:rsidRPr="00436A84" w:rsidRDefault="00FB0275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36A8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lastRenderedPageBreak/>
        <w:t xml:space="preserve">ЛИСТ СОГЛАСОВАНИЯ </w:t>
      </w:r>
    </w:p>
    <w:p w:rsidR="00436A84" w:rsidRPr="00436A84" w:rsidRDefault="00436A84" w:rsidP="00436A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36A8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ПРОЕКТА ПОСТАНОВЛЕНИЯ АДМИНИСТРАЦИИ НИКОЛЬСКОГО ГП ТОСНЕНСКОГО Р-НА ЛЕНИНГРАДСКОЙ ОБЛАСТИ</w:t>
      </w:r>
    </w:p>
    <w:p w:rsidR="00436A84" w:rsidRPr="00436A84" w:rsidRDefault="00436A84" w:rsidP="00436A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16"/>
          <w:szCs w:val="24"/>
        </w:rPr>
      </w:pPr>
    </w:p>
    <w:p w:rsidR="00436A84" w:rsidRPr="00436A84" w:rsidRDefault="00436A84" w:rsidP="00436A84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436A84" w:rsidRPr="00436A84" w:rsidRDefault="00436A84" w:rsidP="00436A84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436A84"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Постановление</w:t>
      </w:r>
      <w:proofErr w:type="gramStart"/>
      <w:r w:rsidRPr="00436A8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="000D1AED" w:rsidRPr="000D1AED">
        <w:rPr>
          <w:rFonts w:ascii="Times New Roman" w:eastAsia="Lucida Sans Unicode" w:hAnsi="Times New Roman" w:cs="Times New Roman"/>
          <w:kern w:val="1"/>
          <w:sz w:val="26"/>
          <w:szCs w:val="26"/>
        </w:rPr>
        <w:t>О</w:t>
      </w:r>
      <w:proofErr w:type="gramEnd"/>
      <w:r w:rsidR="000D1AED" w:rsidRPr="000D1AED">
        <w:rPr>
          <w:rFonts w:ascii="Times New Roman" w:eastAsia="Lucida Sans Unicode" w:hAnsi="Times New Roman" w:cs="Times New Roman"/>
          <w:kern w:val="1"/>
          <w:sz w:val="26"/>
          <w:szCs w:val="26"/>
        </w:rPr>
        <w:t>б организации создания мест накопления отработанных ртутьсодержащих ламп на территории Никольского городского поселения Тосненско</w:t>
      </w:r>
      <w:r w:rsidR="000D1AED">
        <w:rPr>
          <w:rFonts w:ascii="Times New Roman" w:eastAsia="Lucida Sans Unicode" w:hAnsi="Times New Roman" w:cs="Times New Roman"/>
          <w:kern w:val="1"/>
          <w:sz w:val="26"/>
          <w:szCs w:val="26"/>
        </w:rPr>
        <w:t>го района Ленинградской области</w:t>
      </w:r>
    </w:p>
    <w:p w:rsidR="00436A84" w:rsidRPr="00436A84" w:rsidRDefault="00436A84" w:rsidP="00436A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6A84" w:rsidRPr="00436A84" w:rsidRDefault="00436A84" w:rsidP="00436A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</w:rPr>
      </w:pPr>
      <w:r w:rsidRPr="00436A84">
        <w:rPr>
          <w:rFonts w:ascii="Times New Roman" w:eastAsia="Lucida Sans Unicode" w:hAnsi="Times New Roman" w:cs="Times New Roman"/>
          <w:b/>
          <w:kern w:val="1"/>
        </w:rPr>
        <w:t>Исполнитель</w:t>
      </w:r>
    </w:p>
    <w:p w:rsidR="00436A84" w:rsidRPr="00436A84" w:rsidRDefault="00436A84" w:rsidP="00436A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94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0"/>
        <w:gridCol w:w="2142"/>
        <w:gridCol w:w="1575"/>
        <w:gridCol w:w="1260"/>
        <w:gridCol w:w="1676"/>
      </w:tblGrid>
      <w:tr w:rsidR="00436A84" w:rsidRPr="00436A84" w:rsidTr="0034015D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Структурное  подразделение администрации Никольского ГП </w:t>
            </w:r>
            <w:proofErr w:type="gramStart"/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ТР</w:t>
            </w:r>
            <w:proofErr w:type="gramEnd"/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ЛО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Фамилия И.О., должность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Дата подготовки документа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Отметка </w:t>
            </w:r>
            <w:proofErr w:type="gramStart"/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направлении</w:t>
            </w:r>
            <w:proofErr w:type="gramEnd"/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док-та на согласование</w:t>
            </w:r>
          </w:p>
        </w:tc>
      </w:tr>
      <w:tr w:rsidR="00436A84" w:rsidRPr="00436A84" w:rsidTr="0034015D">
        <w:trPr>
          <w:trHeight w:val="175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Юридический отдел</w:t>
            </w:r>
          </w:p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Федотова Л.А. -</w:t>
            </w:r>
          </w:p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</w:tc>
      </w:tr>
    </w:tbl>
    <w:p w:rsidR="00436A84" w:rsidRPr="00436A84" w:rsidRDefault="00436A84" w:rsidP="00436A84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436A84" w:rsidRPr="00436A84" w:rsidRDefault="00436A84" w:rsidP="00436A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36A8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Согласование:</w:t>
      </w:r>
    </w:p>
    <w:p w:rsidR="00436A84" w:rsidRPr="00436A84" w:rsidRDefault="00436A84" w:rsidP="00436A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948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0"/>
        <w:gridCol w:w="496"/>
        <w:gridCol w:w="3563"/>
        <w:gridCol w:w="10"/>
        <w:gridCol w:w="1598"/>
        <w:gridCol w:w="6"/>
        <w:gridCol w:w="3753"/>
        <w:gridCol w:w="52"/>
      </w:tblGrid>
      <w:tr w:rsidR="00436A84" w:rsidRPr="00436A84" w:rsidTr="0034015D">
        <w:trPr>
          <w:gridBefore w:val="1"/>
          <w:gridAfter w:val="1"/>
          <w:wBefore w:w="10" w:type="dxa"/>
          <w:wAfter w:w="52" w:type="dxa"/>
          <w:trHeight w:val="84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 п\</w:t>
            </w:r>
            <w:proofErr w:type="gramStart"/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Должностные лица</w:t>
            </w:r>
          </w:p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Дата согласования</w:t>
            </w:r>
          </w:p>
        </w:tc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Подпись с отметкой о согласовании/наличии замечаний*</w:t>
            </w:r>
          </w:p>
        </w:tc>
      </w:tr>
      <w:tr w:rsidR="00436A84" w:rsidRPr="00436A84" w:rsidTr="0034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8"/>
        </w:trPr>
        <w:tc>
          <w:tcPr>
            <w:tcW w:w="506" w:type="dxa"/>
            <w:gridSpan w:val="2"/>
          </w:tcPr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ind w:left="-24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ind w:left="-24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ind w:left="-24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ind w:left="-24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436A84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>1</w:t>
            </w:r>
          </w:p>
        </w:tc>
        <w:tc>
          <w:tcPr>
            <w:tcW w:w="3573" w:type="dxa"/>
            <w:gridSpan w:val="2"/>
          </w:tcPr>
          <w:p w:rsidR="00436A84" w:rsidRPr="00436A84" w:rsidRDefault="000D1AED" w:rsidP="000D1AED">
            <w:pPr>
              <w:widowControl w:val="0"/>
              <w:suppressAutoHyphens/>
              <w:snapToGrid w:val="0"/>
              <w:spacing w:after="0" w:line="0" w:lineRule="atLeast"/>
              <w:jc w:val="both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Начальник</w:t>
            </w:r>
            <w:r w:rsidRPr="000D1AE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отдела по жилищно-коммунальному хозяйству и инж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енерной инфраструктуре Стручков</w:t>
            </w:r>
            <w:r w:rsidRPr="000D1AE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Д.К. </w:t>
            </w:r>
          </w:p>
        </w:tc>
        <w:tc>
          <w:tcPr>
            <w:tcW w:w="1598" w:type="dxa"/>
          </w:tcPr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ind w:left="-24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3811" w:type="dxa"/>
            <w:gridSpan w:val="3"/>
          </w:tcPr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ind w:left="-24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</w:tr>
      <w:tr w:rsidR="00436A84" w:rsidRPr="00436A84" w:rsidTr="0034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506" w:type="dxa"/>
            <w:gridSpan w:val="2"/>
          </w:tcPr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ind w:left="-24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2</w:t>
            </w:r>
          </w:p>
        </w:tc>
        <w:tc>
          <w:tcPr>
            <w:tcW w:w="3573" w:type="dxa"/>
            <w:gridSpan w:val="2"/>
          </w:tcPr>
          <w:p w:rsidR="00436A84" w:rsidRPr="00436A84" w:rsidRDefault="00436A84" w:rsidP="00436A84">
            <w:pPr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Начальник юридического отдела</w:t>
            </w:r>
          </w:p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436A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Бровкин В.Ю.</w:t>
            </w:r>
          </w:p>
        </w:tc>
        <w:tc>
          <w:tcPr>
            <w:tcW w:w="1604" w:type="dxa"/>
            <w:gridSpan w:val="2"/>
          </w:tcPr>
          <w:p w:rsidR="00436A84" w:rsidRPr="00436A84" w:rsidRDefault="00436A84" w:rsidP="00436A84">
            <w:pPr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36A84" w:rsidRPr="00436A84" w:rsidRDefault="00436A84" w:rsidP="00436A84">
            <w:pPr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3805" w:type="dxa"/>
            <w:gridSpan w:val="2"/>
          </w:tcPr>
          <w:p w:rsidR="00436A84" w:rsidRPr="00436A84" w:rsidRDefault="00436A84" w:rsidP="00436A84">
            <w:pPr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36A84" w:rsidRPr="00436A84" w:rsidRDefault="00436A84" w:rsidP="00436A84">
            <w:pPr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36A84" w:rsidRPr="00436A84" w:rsidRDefault="00436A84" w:rsidP="00436A8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</w:tr>
    </w:tbl>
    <w:p w:rsidR="00436A84" w:rsidRPr="00436A84" w:rsidRDefault="00436A84" w:rsidP="00436A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36A84" w:rsidRPr="00436A84" w:rsidRDefault="00436A84" w:rsidP="00436A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36A84">
        <w:rPr>
          <w:rFonts w:ascii="Times New Roman" w:eastAsia="Lucida Sans Unicode" w:hAnsi="Times New Roman" w:cs="Times New Roman"/>
          <w:kern w:val="1"/>
          <w:sz w:val="24"/>
          <w:szCs w:val="24"/>
        </w:rPr>
        <w:t>*Замечания и предложения свыше двух строк оформляются на отдельном листе</w:t>
      </w: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A84" w:rsidRPr="00436A84" w:rsidRDefault="00436A84" w:rsidP="00436A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A84" w:rsidRPr="00436A84" w:rsidRDefault="00436A84" w:rsidP="00436A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A84" w:rsidRPr="00FE73C1" w:rsidRDefault="00436A84" w:rsidP="00FE73C1">
      <w:pP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sectPr w:rsidR="00436A84" w:rsidRPr="00FE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5C"/>
    <w:rsid w:val="00002136"/>
    <w:rsid w:val="000057ED"/>
    <w:rsid w:val="00012E01"/>
    <w:rsid w:val="0001703E"/>
    <w:rsid w:val="0002725C"/>
    <w:rsid w:val="000410D0"/>
    <w:rsid w:val="000449CE"/>
    <w:rsid w:val="00057CD6"/>
    <w:rsid w:val="00062FB1"/>
    <w:rsid w:val="000801A9"/>
    <w:rsid w:val="000A604D"/>
    <w:rsid w:val="000C2065"/>
    <w:rsid w:val="000C53D4"/>
    <w:rsid w:val="000D1AED"/>
    <w:rsid w:val="000E4FD9"/>
    <w:rsid w:val="000F5BFD"/>
    <w:rsid w:val="00105D63"/>
    <w:rsid w:val="00106EEA"/>
    <w:rsid w:val="001122AD"/>
    <w:rsid w:val="001546CE"/>
    <w:rsid w:val="00154F7C"/>
    <w:rsid w:val="001610CD"/>
    <w:rsid w:val="0017260E"/>
    <w:rsid w:val="00183606"/>
    <w:rsid w:val="001A3BB4"/>
    <w:rsid w:val="001C7FDF"/>
    <w:rsid w:val="001F2009"/>
    <w:rsid w:val="001F2110"/>
    <w:rsid w:val="00200645"/>
    <w:rsid w:val="00201F95"/>
    <w:rsid w:val="00203DA3"/>
    <w:rsid w:val="00206985"/>
    <w:rsid w:val="00211AE2"/>
    <w:rsid w:val="00237C73"/>
    <w:rsid w:val="0025097B"/>
    <w:rsid w:val="002620EF"/>
    <w:rsid w:val="00297ED1"/>
    <w:rsid w:val="002A3DB9"/>
    <w:rsid w:val="002D01EF"/>
    <w:rsid w:val="002D14D4"/>
    <w:rsid w:val="002D1E02"/>
    <w:rsid w:val="002D66B7"/>
    <w:rsid w:val="002E5468"/>
    <w:rsid w:val="002F0E0D"/>
    <w:rsid w:val="002F2495"/>
    <w:rsid w:val="002F6C26"/>
    <w:rsid w:val="00312A31"/>
    <w:rsid w:val="00326632"/>
    <w:rsid w:val="00340422"/>
    <w:rsid w:val="0034445E"/>
    <w:rsid w:val="003448B9"/>
    <w:rsid w:val="00353272"/>
    <w:rsid w:val="00360A04"/>
    <w:rsid w:val="00361A2C"/>
    <w:rsid w:val="003730DA"/>
    <w:rsid w:val="0038045E"/>
    <w:rsid w:val="00383F3B"/>
    <w:rsid w:val="003A3AFD"/>
    <w:rsid w:val="003A43BA"/>
    <w:rsid w:val="003C35EF"/>
    <w:rsid w:val="003C54FC"/>
    <w:rsid w:val="003E3699"/>
    <w:rsid w:val="0043083D"/>
    <w:rsid w:val="00434394"/>
    <w:rsid w:val="00436A84"/>
    <w:rsid w:val="0045172E"/>
    <w:rsid w:val="00466E6E"/>
    <w:rsid w:val="004672E4"/>
    <w:rsid w:val="004701A4"/>
    <w:rsid w:val="00472A01"/>
    <w:rsid w:val="0048001B"/>
    <w:rsid w:val="00481F32"/>
    <w:rsid w:val="00486B10"/>
    <w:rsid w:val="00496B3F"/>
    <w:rsid w:val="004B32C1"/>
    <w:rsid w:val="004C4BC8"/>
    <w:rsid w:val="004E4B32"/>
    <w:rsid w:val="004E5690"/>
    <w:rsid w:val="004E7EC5"/>
    <w:rsid w:val="004F09AE"/>
    <w:rsid w:val="004F556F"/>
    <w:rsid w:val="004F7FD9"/>
    <w:rsid w:val="005004F8"/>
    <w:rsid w:val="00511A3C"/>
    <w:rsid w:val="00527DC4"/>
    <w:rsid w:val="00551547"/>
    <w:rsid w:val="00553ABF"/>
    <w:rsid w:val="00562DF3"/>
    <w:rsid w:val="0058389A"/>
    <w:rsid w:val="005A23D1"/>
    <w:rsid w:val="005A794F"/>
    <w:rsid w:val="005B38D8"/>
    <w:rsid w:val="005C536C"/>
    <w:rsid w:val="0069711B"/>
    <w:rsid w:val="006A6EF4"/>
    <w:rsid w:val="006C2DFA"/>
    <w:rsid w:val="006F0804"/>
    <w:rsid w:val="006F74D0"/>
    <w:rsid w:val="00706DE5"/>
    <w:rsid w:val="00714123"/>
    <w:rsid w:val="00755705"/>
    <w:rsid w:val="007561B8"/>
    <w:rsid w:val="00761280"/>
    <w:rsid w:val="00766FE9"/>
    <w:rsid w:val="0077636D"/>
    <w:rsid w:val="00792156"/>
    <w:rsid w:val="007B2A83"/>
    <w:rsid w:val="007B652A"/>
    <w:rsid w:val="007C1C0F"/>
    <w:rsid w:val="007D56B4"/>
    <w:rsid w:val="007E11EF"/>
    <w:rsid w:val="007E12B7"/>
    <w:rsid w:val="007E2733"/>
    <w:rsid w:val="007E27D6"/>
    <w:rsid w:val="007F070F"/>
    <w:rsid w:val="0080052A"/>
    <w:rsid w:val="00814121"/>
    <w:rsid w:val="008141E0"/>
    <w:rsid w:val="008340EF"/>
    <w:rsid w:val="0083798A"/>
    <w:rsid w:val="00842EE9"/>
    <w:rsid w:val="008549C5"/>
    <w:rsid w:val="00861783"/>
    <w:rsid w:val="00870801"/>
    <w:rsid w:val="00875D4A"/>
    <w:rsid w:val="00885309"/>
    <w:rsid w:val="0089181D"/>
    <w:rsid w:val="00892E68"/>
    <w:rsid w:val="008D572C"/>
    <w:rsid w:val="00902CEE"/>
    <w:rsid w:val="0091114D"/>
    <w:rsid w:val="009349F8"/>
    <w:rsid w:val="00935A57"/>
    <w:rsid w:val="00946302"/>
    <w:rsid w:val="009529C4"/>
    <w:rsid w:val="009538F8"/>
    <w:rsid w:val="00955A2B"/>
    <w:rsid w:val="00964FF0"/>
    <w:rsid w:val="00970B1B"/>
    <w:rsid w:val="0097154D"/>
    <w:rsid w:val="00972C87"/>
    <w:rsid w:val="009832C0"/>
    <w:rsid w:val="0098673B"/>
    <w:rsid w:val="00991E65"/>
    <w:rsid w:val="0099332B"/>
    <w:rsid w:val="009A27C8"/>
    <w:rsid w:val="009A4F3D"/>
    <w:rsid w:val="009A7821"/>
    <w:rsid w:val="009B0F05"/>
    <w:rsid w:val="009C0B75"/>
    <w:rsid w:val="009C4DA7"/>
    <w:rsid w:val="009C7D04"/>
    <w:rsid w:val="009D213E"/>
    <w:rsid w:val="009D4B73"/>
    <w:rsid w:val="009F7264"/>
    <w:rsid w:val="00A12B05"/>
    <w:rsid w:val="00A2121C"/>
    <w:rsid w:val="00A32F70"/>
    <w:rsid w:val="00A70A46"/>
    <w:rsid w:val="00AB375C"/>
    <w:rsid w:val="00AC169A"/>
    <w:rsid w:val="00AD671D"/>
    <w:rsid w:val="00AE5E7C"/>
    <w:rsid w:val="00B0411F"/>
    <w:rsid w:val="00B057BE"/>
    <w:rsid w:val="00B20553"/>
    <w:rsid w:val="00B33833"/>
    <w:rsid w:val="00B3406E"/>
    <w:rsid w:val="00B6463E"/>
    <w:rsid w:val="00B6718F"/>
    <w:rsid w:val="00B808C6"/>
    <w:rsid w:val="00B858B2"/>
    <w:rsid w:val="00B92497"/>
    <w:rsid w:val="00B93788"/>
    <w:rsid w:val="00B97102"/>
    <w:rsid w:val="00BC0129"/>
    <w:rsid w:val="00BF6D96"/>
    <w:rsid w:val="00C140F9"/>
    <w:rsid w:val="00C20445"/>
    <w:rsid w:val="00C20D8B"/>
    <w:rsid w:val="00C2523F"/>
    <w:rsid w:val="00C42844"/>
    <w:rsid w:val="00C509BC"/>
    <w:rsid w:val="00C56F30"/>
    <w:rsid w:val="00C60187"/>
    <w:rsid w:val="00C660B7"/>
    <w:rsid w:val="00C66246"/>
    <w:rsid w:val="00C85708"/>
    <w:rsid w:val="00C94BFF"/>
    <w:rsid w:val="00C96246"/>
    <w:rsid w:val="00CB6BC1"/>
    <w:rsid w:val="00CC5724"/>
    <w:rsid w:val="00CC6960"/>
    <w:rsid w:val="00CD4537"/>
    <w:rsid w:val="00CD7480"/>
    <w:rsid w:val="00CE494E"/>
    <w:rsid w:val="00D17635"/>
    <w:rsid w:val="00D17FD3"/>
    <w:rsid w:val="00D314A0"/>
    <w:rsid w:val="00D417EE"/>
    <w:rsid w:val="00D4469B"/>
    <w:rsid w:val="00D46607"/>
    <w:rsid w:val="00D47D64"/>
    <w:rsid w:val="00D5165C"/>
    <w:rsid w:val="00D5459E"/>
    <w:rsid w:val="00D54FEB"/>
    <w:rsid w:val="00D77549"/>
    <w:rsid w:val="00D94EEA"/>
    <w:rsid w:val="00DA5CE7"/>
    <w:rsid w:val="00DB2F30"/>
    <w:rsid w:val="00DE06EE"/>
    <w:rsid w:val="00DE2B8C"/>
    <w:rsid w:val="00DF5648"/>
    <w:rsid w:val="00E20341"/>
    <w:rsid w:val="00E374D6"/>
    <w:rsid w:val="00E413BD"/>
    <w:rsid w:val="00E63659"/>
    <w:rsid w:val="00E702E7"/>
    <w:rsid w:val="00E843A8"/>
    <w:rsid w:val="00E8556E"/>
    <w:rsid w:val="00EA642D"/>
    <w:rsid w:val="00EB0FEC"/>
    <w:rsid w:val="00EB21B2"/>
    <w:rsid w:val="00EC11E0"/>
    <w:rsid w:val="00ED17FA"/>
    <w:rsid w:val="00EE63FC"/>
    <w:rsid w:val="00EF231A"/>
    <w:rsid w:val="00F14557"/>
    <w:rsid w:val="00F2148E"/>
    <w:rsid w:val="00F35D6C"/>
    <w:rsid w:val="00F41D3A"/>
    <w:rsid w:val="00F45A18"/>
    <w:rsid w:val="00F5020D"/>
    <w:rsid w:val="00F776F2"/>
    <w:rsid w:val="00FA0813"/>
    <w:rsid w:val="00FA6E19"/>
    <w:rsid w:val="00FB0275"/>
    <w:rsid w:val="00FC09DD"/>
    <w:rsid w:val="00FC0A85"/>
    <w:rsid w:val="00FE73C1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E73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E73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5</cp:revision>
  <cp:lastPrinted>2022-12-22T13:39:00Z</cp:lastPrinted>
  <dcterms:created xsi:type="dcterms:W3CDTF">2022-12-22T09:00:00Z</dcterms:created>
  <dcterms:modified xsi:type="dcterms:W3CDTF">2022-12-22T13:40:00Z</dcterms:modified>
</cp:coreProperties>
</file>